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134C3" w14:textId="77777777" w:rsidR="00F26DCC" w:rsidRDefault="00F26DCC" w:rsidP="00F26DCC">
      <w:pPr>
        <w:jc w:val="right"/>
        <w:rPr>
          <w:rFonts w:ascii="Times New Roman" w:hAnsi="Times New Roman"/>
          <w:bCs/>
        </w:rPr>
      </w:pPr>
    </w:p>
    <w:p w14:paraId="75BCA8D8" w14:textId="634D0407" w:rsidR="00F26DCC" w:rsidRPr="00F26DCC" w:rsidRDefault="00F26DCC" w:rsidP="00F26DCC">
      <w:pPr>
        <w:jc w:val="right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Cs/>
        </w:rPr>
        <w:t xml:space="preserve">Via </w:t>
      </w:r>
      <w:r w:rsidR="006E3ABF">
        <w:rPr>
          <w:rFonts w:ascii="Times New Roman" w:hAnsi="Times New Roman"/>
          <w:bCs/>
        </w:rPr>
        <w:t xml:space="preserve">email &amp; </w:t>
      </w:r>
      <w:r w:rsidRPr="00F26DCC">
        <w:rPr>
          <w:rFonts w:ascii="Times New Roman" w:hAnsi="Times New Roman"/>
          <w:bCs/>
        </w:rPr>
        <w:t>posting</w:t>
      </w:r>
    </w:p>
    <w:p w14:paraId="61A651C4" w14:textId="0915F67A" w:rsidR="00F26DCC" w:rsidRDefault="00406280" w:rsidP="00F26DCC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November </w:t>
      </w:r>
      <w:r w:rsidR="00EF5B5B">
        <w:rPr>
          <w:rFonts w:ascii="Times New Roman" w:hAnsi="Times New Roman"/>
          <w:bCs/>
        </w:rPr>
        <w:t>8</w:t>
      </w:r>
      <w:r w:rsidR="00F26DCC" w:rsidRPr="00F26DCC">
        <w:rPr>
          <w:rFonts w:ascii="Times New Roman" w:hAnsi="Times New Roman"/>
          <w:bCs/>
        </w:rPr>
        <w:t>, 20</w:t>
      </w:r>
      <w:r w:rsidR="00F26DCC">
        <w:rPr>
          <w:rFonts w:ascii="Times New Roman" w:hAnsi="Times New Roman"/>
          <w:bCs/>
        </w:rPr>
        <w:t>2</w:t>
      </w:r>
      <w:r w:rsidR="00145268">
        <w:rPr>
          <w:rFonts w:ascii="Times New Roman" w:hAnsi="Times New Roman"/>
          <w:bCs/>
        </w:rPr>
        <w:t>3</w:t>
      </w:r>
    </w:p>
    <w:p w14:paraId="0CDB55E7" w14:textId="77777777" w:rsidR="008718D1" w:rsidRPr="00F26DCC" w:rsidRDefault="008718D1" w:rsidP="00F26DCC">
      <w:pPr>
        <w:jc w:val="right"/>
        <w:rPr>
          <w:rFonts w:ascii="Times New Roman" w:hAnsi="Times New Roman"/>
          <w:bCs/>
        </w:rPr>
      </w:pPr>
    </w:p>
    <w:p w14:paraId="449BAA3D" w14:textId="4EC733BE" w:rsidR="00F26DCC" w:rsidRPr="00F26DCC" w:rsidRDefault="00F26DCC" w:rsidP="00145268">
      <w:pPr>
        <w:spacing w:before="120" w:after="120"/>
        <w:ind w:left="1440" w:hanging="14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TO: </w:t>
      </w:r>
      <w:r w:rsidRPr="00F26DCC">
        <w:rPr>
          <w:rFonts w:ascii="Times New Roman" w:hAnsi="Times New Roman"/>
          <w:b/>
        </w:rPr>
        <w:tab/>
      </w:r>
      <w:r w:rsidR="00145268" w:rsidRPr="00145268">
        <w:rPr>
          <w:rFonts w:ascii="Times New Roman" w:hAnsi="Times New Roman"/>
          <w:bCs/>
        </w:rPr>
        <w:t xml:space="preserve">NAESB Members, </w:t>
      </w:r>
      <w:r w:rsidR="00790542">
        <w:rPr>
          <w:rFonts w:ascii="Times New Roman" w:hAnsi="Times New Roman"/>
          <w:bCs/>
        </w:rPr>
        <w:t xml:space="preserve">NAESB Advisory Council, NAESB </w:t>
      </w:r>
      <w:r w:rsidR="00145268" w:rsidRPr="00145268">
        <w:rPr>
          <w:rFonts w:ascii="Times New Roman" w:hAnsi="Times New Roman"/>
          <w:bCs/>
        </w:rPr>
        <w:t>Gas-Electric Harmonization (GEH) Forum</w:t>
      </w:r>
      <w:r w:rsidR="00145268">
        <w:rPr>
          <w:rFonts w:ascii="Times New Roman" w:hAnsi="Times New Roman"/>
          <w:bCs/>
        </w:rPr>
        <w:t xml:space="preserve"> Participants,</w:t>
      </w:r>
      <w:r w:rsidR="00145268" w:rsidRPr="00145268">
        <w:rPr>
          <w:rFonts w:ascii="Times New Roman" w:hAnsi="Times New Roman"/>
          <w:bCs/>
        </w:rPr>
        <w:t xml:space="preserve"> and Interested Parties</w:t>
      </w:r>
    </w:p>
    <w:p w14:paraId="22DEBE6E" w14:textId="36695E6E" w:rsidR="00F26DCC" w:rsidRPr="00F26DCC" w:rsidRDefault="00F26DCC" w:rsidP="00145268">
      <w:pPr>
        <w:spacing w:after="120"/>
        <w:ind w:left="1440" w:hanging="144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>FROM:</w:t>
      </w:r>
      <w:r w:rsidRPr="00F26DCC">
        <w:rPr>
          <w:rFonts w:ascii="Times New Roman" w:hAnsi="Times New Roman"/>
          <w:bCs/>
        </w:rPr>
        <w:tab/>
        <w:t>Michael Desselle, Chairman of the Board of Directors</w:t>
      </w:r>
      <w:r w:rsidR="008E1436">
        <w:rPr>
          <w:rFonts w:ascii="Times New Roman" w:hAnsi="Times New Roman"/>
          <w:bCs/>
        </w:rPr>
        <w:t xml:space="preserve">, </w:t>
      </w:r>
      <w:r w:rsidR="00145268">
        <w:rPr>
          <w:rFonts w:ascii="Times New Roman" w:hAnsi="Times New Roman"/>
          <w:bCs/>
        </w:rPr>
        <w:t>NAESB</w:t>
      </w:r>
    </w:p>
    <w:p w14:paraId="563C3463" w14:textId="3546C10A" w:rsidR="00F26DCC" w:rsidRPr="00F26DCC" w:rsidRDefault="00F26DCC" w:rsidP="00145268">
      <w:pPr>
        <w:pBdr>
          <w:bottom w:val="single" w:sz="12" w:space="1" w:color="auto"/>
        </w:pBdr>
        <w:spacing w:after="120"/>
        <w:jc w:val="both"/>
        <w:rPr>
          <w:rFonts w:ascii="Times New Roman" w:hAnsi="Times New Roman"/>
          <w:bCs/>
        </w:rPr>
      </w:pPr>
      <w:r w:rsidRPr="00F26DCC">
        <w:rPr>
          <w:rFonts w:ascii="Times New Roman" w:hAnsi="Times New Roman"/>
          <w:b/>
        </w:rPr>
        <w:t xml:space="preserve">RE: </w:t>
      </w:r>
      <w:r w:rsidRPr="00F26DCC">
        <w:rPr>
          <w:rFonts w:ascii="Times New Roman" w:hAnsi="Times New Roman"/>
          <w:b/>
        </w:rPr>
        <w:tab/>
      </w:r>
      <w:r w:rsidRPr="00F26DCC">
        <w:rPr>
          <w:rFonts w:ascii="Times New Roman" w:hAnsi="Times New Roman"/>
          <w:b/>
        </w:rPr>
        <w:tab/>
      </w:r>
      <w:r w:rsidR="00790542">
        <w:rPr>
          <w:rFonts w:ascii="Times New Roman" w:hAnsi="Times New Roman"/>
        </w:rPr>
        <w:t>FERC, NERC and Regional Entity Staff Report Concerning 2022 Winter Storm Elliott</w:t>
      </w:r>
    </w:p>
    <w:p w14:paraId="52916EC9" w14:textId="7DF09B8C" w:rsidR="00145268" w:rsidRPr="00145268" w:rsidRDefault="00145268" w:rsidP="0032008E">
      <w:pPr>
        <w:tabs>
          <w:tab w:val="left" w:pos="0"/>
        </w:tabs>
        <w:spacing w:before="360" w:after="120" w:line="360" w:lineRule="auto"/>
        <w:jc w:val="both"/>
        <w:rPr>
          <w:rFonts w:ascii="Times New Roman" w:hAnsi="Times New Roman"/>
          <w:bCs/>
        </w:rPr>
      </w:pPr>
      <w:bookmarkStart w:id="0" w:name="_Hlk113371027"/>
      <w:r w:rsidRPr="00145268">
        <w:rPr>
          <w:rFonts w:ascii="Times New Roman" w:hAnsi="Times New Roman"/>
          <w:bCs/>
        </w:rPr>
        <w:t xml:space="preserve">Dear NAESB Members, </w:t>
      </w:r>
      <w:r w:rsidR="00790542">
        <w:rPr>
          <w:rFonts w:ascii="Times New Roman" w:hAnsi="Times New Roman"/>
          <w:bCs/>
        </w:rPr>
        <w:t xml:space="preserve">NAESB Advisory Council, NAESB </w:t>
      </w:r>
      <w:r w:rsidRPr="00145268">
        <w:rPr>
          <w:rFonts w:ascii="Times New Roman" w:hAnsi="Times New Roman"/>
          <w:bCs/>
        </w:rPr>
        <w:t>GEH Forum Participants</w:t>
      </w:r>
      <w:r>
        <w:rPr>
          <w:rFonts w:ascii="Times New Roman" w:hAnsi="Times New Roman"/>
          <w:bCs/>
        </w:rPr>
        <w:t>,</w:t>
      </w:r>
      <w:r w:rsidRPr="00145268">
        <w:rPr>
          <w:rFonts w:ascii="Times New Roman" w:hAnsi="Times New Roman"/>
          <w:bCs/>
        </w:rPr>
        <w:t xml:space="preserve"> and Interested Parties,</w:t>
      </w:r>
      <w:bookmarkEnd w:id="0"/>
    </w:p>
    <w:p w14:paraId="456097A2" w14:textId="7CF9C12C" w:rsidR="006C2E32" w:rsidRDefault="00790542" w:rsidP="0032008E">
      <w:pPr>
        <w:pStyle w:val="PlainText"/>
        <w:spacing w:before="120"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As you may know, on November 7, 2023, the Federal Energy Regulatory Commission (FERC</w:t>
      </w:r>
      <w:r w:rsidR="00406280">
        <w:rPr>
          <w:rFonts w:eastAsia="Times New Roman" w:cs="Times New Roman"/>
          <w:sz w:val="20"/>
          <w:szCs w:val="20"/>
        </w:rPr>
        <w:t xml:space="preserve"> or Commission</w:t>
      </w:r>
      <w:r>
        <w:rPr>
          <w:rFonts w:eastAsia="Times New Roman" w:cs="Times New Roman"/>
          <w:sz w:val="20"/>
          <w:szCs w:val="20"/>
        </w:rPr>
        <w:t xml:space="preserve">) and the North American Electric Reliability Corporation (NERC) released a final report on Winter Storm Elliott, </w:t>
      </w:r>
      <w:r>
        <w:rPr>
          <w:rFonts w:eastAsia="Times New Roman" w:cs="Times New Roman"/>
          <w:i/>
          <w:iCs/>
          <w:sz w:val="20"/>
          <w:szCs w:val="20"/>
        </w:rPr>
        <w:t>Inquiry into Bulk-Power System Operations During December 2022 Winter Storm Elliott</w:t>
      </w:r>
      <w:r w:rsidR="00406280">
        <w:rPr>
          <w:rFonts w:eastAsia="Times New Roman" w:cs="Times New Roman"/>
          <w:i/>
          <w:iCs/>
          <w:sz w:val="20"/>
          <w:szCs w:val="20"/>
        </w:rPr>
        <w:t xml:space="preserve"> </w:t>
      </w:r>
      <w:r w:rsidR="00406280" w:rsidRPr="00406280">
        <w:rPr>
          <w:rFonts w:eastAsia="Times New Roman" w:cs="Times New Roman"/>
          <w:sz w:val="20"/>
          <w:szCs w:val="20"/>
        </w:rPr>
        <w:t>(Report)</w:t>
      </w:r>
      <w:r>
        <w:rPr>
          <w:rFonts w:eastAsia="Times New Roman" w:cs="Times New Roman"/>
          <w:sz w:val="20"/>
          <w:szCs w:val="20"/>
        </w:rPr>
        <w:t>.</w:t>
      </w:r>
      <w:r>
        <w:rPr>
          <w:rStyle w:val="FootnoteReference"/>
          <w:rFonts w:eastAsia="Times New Roman" w:cs="Times New Roman"/>
          <w:sz w:val="20"/>
          <w:szCs w:val="20"/>
        </w:rPr>
        <w:footnoteReference w:id="1"/>
      </w:r>
      <w:r>
        <w:rPr>
          <w:rFonts w:eastAsia="Times New Roman" w:cs="Times New Roman"/>
          <w:sz w:val="20"/>
          <w:szCs w:val="20"/>
        </w:rPr>
        <w:t xml:space="preserve"> In the </w:t>
      </w:r>
      <w:r w:rsidR="00406280">
        <w:rPr>
          <w:rFonts w:eastAsia="Times New Roman" w:cs="Times New Roman"/>
          <w:sz w:val="20"/>
          <w:szCs w:val="20"/>
        </w:rPr>
        <w:t>R</w:t>
      </w:r>
      <w:r>
        <w:rPr>
          <w:rFonts w:eastAsia="Times New Roman" w:cs="Times New Roman"/>
          <w:sz w:val="20"/>
          <w:szCs w:val="20"/>
        </w:rPr>
        <w:t xml:space="preserve">eport, </w:t>
      </w:r>
      <w:r w:rsidR="002E0CDF">
        <w:rPr>
          <w:rFonts w:eastAsia="Times New Roman" w:cs="Times New Roman"/>
          <w:sz w:val="20"/>
          <w:szCs w:val="20"/>
        </w:rPr>
        <w:t>Recommendation 5 calls for the “The North American Energy Standards Board [to] convene natural gas infrastructure entities, electric grid operator</w:t>
      </w:r>
      <w:r w:rsidR="00D97DE2">
        <w:rPr>
          <w:rFonts w:eastAsia="Times New Roman" w:cs="Times New Roman"/>
          <w:sz w:val="20"/>
          <w:szCs w:val="20"/>
        </w:rPr>
        <w:t>s</w:t>
      </w:r>
      <w:r w:rsidR="002E0CDF">
        <w:rPr>
          <w:rFonts w:eastAsia="Times New Roman" w:cs="Times New Roman"/>
          <w:sz w:val="20"/>
          <w:szCs w:val="20"/>
        </w:rPr>
        <w:t>, and LDCs to identify improvements in communication during extreme cold weather events to enhance situational awareness</w:t>
      </w:r>
      <w:r w:rsidR="003131D8">
        <w:rPr>
          <w:rFonts w:eastAsia="Times New Roman" w:cs="Times New Roman"/>
          <w:sz w:val="20"/>
          <w:szCs w:val="20"/>
        </w:rPr>
        <w:t xml:space="preserve">.” </w:t>
      </w:r>
    </w:p>
    <w:p w14:paraId="07B5CFBC" w14:textId="548C4DB8" w:rsidR="00790542" w:rsidRDefault="00406280" w:rsidP="0032008E">
      <w:pPr>
        <w:pStyle w:val="PlainText"/>
        <w:spacing w:before="120" w:line="36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The Report </w:t>
      </w:r>
      <w:r w:rsidR="004B11FF">
        <w:rPr>
          <w:rFonts w:eastAsia="Times New Roman" w:cs="Times New Roman"/>
          <w:sz w:val="20"/>
          <w:szCs w:val="20"/>
        </w:rPr>
        <w:t>included</w:t>
      </w:r>
      <w:r>
        <w:rPr>
          <w:rFonts w:eastAsia="Times New Roman" w:cs="Times New Roman"/>
          <w:sz w:val="20"/>
          <w:szCs w:val="20"/>
        </w:rPr>
        <w:t xml:space="preserve"> a second quarter 2024 deadline for the activity</w:t>
      </w:r>
      <w:r w:rsidR="00C30B5F">
        <w:rPr>
          <w:rFonts w:eastAsia="Times New Roman" w:cs="Times New Roman"/>
          <w:sz w:val="20"/>
          <w:szCs w:val="20"/>
        </w:rPr>
        <w:t xml:space="preserve">, and </w:t>
      </w:r>
      <w:r w:rsidR="004B11FF">
        <w:rPr>
          <w:rFonts w:eastAsia="Times New Roman" w:cs="Times New Roman"/>
          <w:sz w:val="20"/>
          <w:szCs w:val="20"/>
        </w:rPr>
        <w:t xml:space="preserve">identified specific areas </w:t>
      </w:r>
      <w:r w:rsidR="00F10783">
        <w:rPr>
          <w:rFonts w:eastAsia="Times New Roman" w:cs="Times New Roman"/>
          <w:sz w:val="20"/>
          <w:szCs w:val="20"/>
        </w:rPr>
        <w:t xml:space="preserve">for </w:t>
      </w:r>
      <w:r w:rsidR="00D97DE2">
        <w:rPr>
          <w:rFonts w:eastAsia="Times New Roman" w:cs="Times New Roman"/>
          <w:sz w:val="20"/>
          <w:szCs w:val="20"/>
        </w:rPr>
        <w:t>consideration that would expand</w:t>
      </w:r>
      <w:r w:rsidR="006C2E32">
        <w:rPr>
          <w:rFonts w:eastAsia="Times New Roman" w:cs="Times New Roman"/>
          <w:sz w:val="20"/>
          <w:szCs w:val="20"/>
        </w:rPr>
        <w:t xml:space="preserve"> </w:t>
      </w:r>
      <w:r w:rsidR="00D97DE2">
        <w:rPr>
          <w:rFonts w:eastAsia="Times New Roman" w:cs="Times New Roman"/>
          <w:sz w:val="20"/>
          <w:szCs w:val="20"/>
        </w:rPr>
        <w:t xml:space="preserve">upon the existing NAESB gas-electric coordination </w:t>
      </w:r>
      <w:r w:rsidR="00F10783">
        <w:rPr>
          <w:rFonts w:eastAsia="Times New Roman" w:cs="Times New Roman"/>
          <w:sz w:val="20"/>
          <w:szCs w:val="20"/>
        </w:rPr>
        <w:t>standards</w:t>
      </w:r>
      <w:r w:rsidR="00D97DE2">
        <w:rPr>
          <w:rFonts w:eastAsia="Times New Roman" w:cs="Times New Roman"/>
          <w:sz w:val="20"/>
          <w:szCs w:val="20"/>
        </w:rPr>
        <w:t>.  Per the Report, these areas are intended</w:t>
      </w:r>
      <w:r w:rsidR="00F10783">
        <w:rPr>
          <w:rFonts w:eastAsia="Times New Roman" w:cs="Times New Roman"/>
          <w:sz w:val="20"/>
          <w:szCs w:val="20"/>
        </w:rPr>
        <w:t xml:space="preserve"> </w:t>
      </w:r>
      <w:r w:rsidR="0020076F">
        <w:rPr>
          <w:rFonts w:eastAsia="Times New Roman" w:cs="Times New Roman"/>
          <w:sz w:val="20"/>
          <w:szCs w:val="20"/>
        </w:rPr>
        <w:t xml:space="preserve">to support </w:t>
      </w:r>
      <w:r w:rsidR="004B11FF">
        <w:rPr>
          <w:rFonts w:eastAsia="Times New Roman" w:cs="Times New Roman"/>
          <w:sz w:val="20"/>
          <w:szCs w:val="20"/>
        </w:rPr>
        <w:t xml:space="preserve">improved communication </w:t>
      </w:r>
      <w:r w:rsidR="00F10783">
        <w:rPr>
          <w:rFonts w:eastAsia="Times New Roman" w:cs="Times New Roman"/>
          <w:sz w:val="20"/>
          <w:szCs w:val="20"/>
        </w:rPr>
        <w:t xml:space="preserve">and information sharing </w:t>
      </w:r>
      <w:r w:rsidR="004B11FF">
        <w:rPr>
          <w:rFonts w:eastAsia="Times New Roman" w:cs="Times New Roman"/>
          <w:sz w:val="20"/>
          <w:szCs w:val="20"/>
        </w:rPr>
        <w:t xml:space="preserve">among operators of production facilities, other natural gas infrastructure entities, Balancing Authorities, shippers, and end-use customers (i.e. Local Distribution Companies) when </w:t>
      </w:r>
      <w:r w:rsidR="00F10783">
        <w:rPr>
          <w:rFonts w:eastAsia="Times New Roman" w:cs="Times New Roman"/>
          <w:sz w:val="20"/>
          <w:szCs w:val="20"/>
        </w:rPr>
        <w:t>situations arise before or during extreme weather events that may have potential adverse impacts on reliability.</w:t>
      </w:r>
      <w:r w:rsidR="006C2E32">
        <w:rPr>
          <w:rFonts w:eastAsia="Times New Roman" w:cs="Times New Roman"/>
          <w:sz w:val="20"/>
          <w:szCs w:val="20"/>
        </w:rPr>
        <w:t xml:space="preserve"> </w:t>
      </w:r>
      <w:r w:rsidR="00D97DE2">
        <w:rPr>
          <w:rFonts w:eastAsia="Times New Roman" w:cs="Times New Roman"/>
          <w:sz w:val="20"/>
          <w:szCs w:val="20"/>
        </w:rPr>
        <w:t>S</w:t>
      </w:r>
      <w:r w:rsidR="00040093">
        <w:rPr>
          <w:rFonts w:eastAsia="Times New Roman" w:cs="Times New Roman"/>
          <w:sz w:val="20"/>
          <w:szCs w:val="20"/>
        </w:rPr>
        <w:t>pecifically noted</w:t>
      </w:r>
      <w:r w:rsidR="00D97DE2">
        <w:rPr>
          <w:rFonts w:eastAsia="Times New Roman" w:cs="Times New Roman"/>
          <w:sz w:val="20"/>
          <w:szCs w:val="20"/>
        </w:rPr>
        <w:t xml:space="preserve"> for consideration</w:t>
      </w:r>
      <w:r w:rsidR="006C2E32">
        <w:rPr>
          <w:rFonts w:eastAsia="Times New Roman" w:cs="Times New Roman"/>
          <w:sz w:val="20"/>
          <w:szCs w:val="20"/>
        </w:rPr>
        <w:t xml:space="preserve"> </w:t>
      </w:r>
      <w:r w:rsidR="00040093">
        <w:rPr>
          <w:rFonts w:eastAsia="Times New Roman" w:cs="Times New Roman"/>
          <w:sz w:val="20"/>
          <w:szCs w:val="20"/>
        </w:rPr>
        <w:t>are</w:t>
      </w:r>
      <w:r w:rsidR="0020076F">
        <w:rPr>
          <w:rFonts w:eastAsia="Times New Roman" w:cs="Times New Roman"/>
          <w:sz w:val="20"/>
          <w:szCs w:val="20"/>
        </w:rPr>
        <w:t xml:space="preserve"> communications concerning aggregated volume data or confirmed scheduled quantities for upstream delivery points on the pipeline system</w:t>
      </w:r>
      <w:r w:rsidR="003B1A9F">
        <w:rPr>
          <w:rFonts w:eastAsia="Times New Roman" w:cs="Times New Roman"/>
          <w:sz w:val="20"/>
          <w:szCs w:val="20"/>
        </w:rPr>
        <w:t xml:space="preserve"> and </w:t>
      </w:r>
      <w:r w:rsidR="0020076F">
        <w:rPr>
          <w:rFonts w:eastAsia="Times New Roman" w:cs="Times New Roman"/>
          <w:sz w:val="20"/>
          <w:szCs w:val="20"/>
        </w:rPr>
        <w:t xml:space="preserve">communications concerning operational issues, including locational information and estimated outage duration, that will help BAs, LDCs, and shippers in planning for potential critical notices, </w:t>
      </w:r>
      <w:r w:rsidR="00AA3968">
        <w:rPr>
          <w:rFonts w:eastAsia="Times New Roman" w:cs="Times New Roman"/>
          <w:sz w:val="20"/>
          <w:szCs w:val="20"/>
        </w:rPr>
        <w:t>operational flow order</w:t>
      </w:r>
      <w:r w:rsidR="0020076F">
        <w:rPr>
          <w:rFonts w:eastAsia="Times New Roman" w:cs="Times New Roman"/>
          <w:sz w:val="20"/>
          <w:szCs w:val="20"/>
        </w:rPr>
        <w:t xml:space="preserve">s or force majeure </w:t>
      </w:r>
      <w:r w:rsidR="003B1A9F">
        <w:rPr>
          <w:rFonts w:eastAsia="Times New Roman" w:cs="Times New Roman"/>
          <w:sz w:val="20"/>
          <w:szCs w:val="20"/>
        </w:rPr>
        <w:t xml:space="preserve">events.  The Report also recognized that these communications will require safeguards to protect commercially sensitive information and pointed to those utilized by Bulk Electric System entities.  </w:t>
      </w:r>
      <w:r w:rsidR="0020076F">
        <w:rPr>
          <w:rFonts w:eastAsia="Times New Roman" w:cs="Times New Roman"/>
          <w:sz w:val="20"/>
          <w:szCs w:val="20"/>
        </w:rPr>
        <w:t xml:space="preserve"> </w:t>
      </w:r>
    </w:p>
    <w:p w14:paraId="07E29F64" w14:textId="1B000771" w:rsidR="00DE2A18" w:rsidRDefault="00E317C2" w:rsidP="0032008E">
      <w:pPr>
        <w:pStyle w:val="PlainText"/>
        <w:spacing w:before="120" w:line="360" w:lineRule="auto"/>
        <w:jc w:val="both"/>
        <w:rPr>
          <w:rFonts w:eastAsia="Times New Roman" w:cs="Times New Roman"/>
          <w:sz w:val="20"/>
          <w:szCs w:val="20"/>
        </w:rPr>
      </w:pPr>
      <w:bookmarkStart w:id="1" w:name="_Hlk150342519"/>
      <w:r>
        <w:rPr>
          <w:rFonts w:eastAsia="Times New Roman" w:cs="Times New Roman"/>
          <w:sz w:val="20"/>
          <w:szCs w:val="20"/>
        </w:rPr>
        <w:t>Given the clear direction provided by the Commission in the Report</w:t>
      </w:r>
      <w:r w:rsidR="006C2E32">
        <w:rPr>
          <w:rFonts w:eastAsia="Times New Roman" w:cs="Times New Roman"/>
          <w:sz w:val="20"/>
          <w:szCs w:val="20"/>
        </w:rPr>
        <w:t xml:space="preserve"> and</w:t>
      </w:r>
      <w:r w:rsidR="00ED5D99">
        <w:rPr>
          <w:rFonts w:eastAsia="Times New Roman" w:cs="Times New Roman"/>
          <w:sz w:val="20"/>
          <w:szCs w:val="20"/>
        </w:rPr>
        <w:t xml:space="preserve"> </w:t>
      </w:r>
      <w:r w:rsidR="003B1A9F">
        <w:rPr>
          <w:rFonts w:eastAsia="Times New Roman" w:cs="Times New Roman"/>
          <w:sz w:val="20"/>
          <w:szCs w:val="20"/>
        </w:rPr>
        <w:t>the identification of actionable standards development areas</w:t>
      </w:r>
      <w:r w:rsidR="00AA3968">
        <w:rPr>
          <w:rFonts w:eastAsia="Times New Roman" w:cs="Times New Roman"/>
          <w:sz w:val="20"/>
          <w:szCs w:val="20"/>
        </w:rPr>
        <w:t xml:space="preserve"> in</w:t>
      </w:r>
      <w:r w:rsidR="0032008E">
        <w:rPr>
          <w:rFonts w:eastAsia="Times New Roman" w:cs="Times New Roman"/>
          <w:sz w:val="20"/>
          <w:szCs w:val="20"/>
        </w:rPr>
        <w:t>cluded in</w:t>
      </w:r>
      <w:r w:rsidR="00AA3968">
        <w:rPr>
          <w:rFonts w:eastAsia="Times New Roman" w:cs="Times New Roman"/>
          <w:sz w:val="20"/>
          <w:szCs w:val="20"/>
        </w:rPr>
        <w:t xml:space="preserve"> Recommendation 5</w:t>
      </w:r>
      <w:r w:rsidR="006C2E32">
        <w:rPr>
          <w:rFonts w:eastAsia="Times New Roman" w:cs="Times New Roman"/>
          <w:sz w:val="20"/>
          <w:szCs w:val="20"/>
        </w:rPr>
        <w:t xml:space="preserve"> for NAESB, </w:t>
      </w:r>
      <w:r w:rsidR="00406280">
        <w:rPr>
          <w:rFonts w:eastAsia="Times New Roman" w:cs="Times New Roman"/>
          <w:sz w:val="20"/>
          <w:szCs w:val="20"/>
        </w:rPr>
        <w:t xml:space="preserve">I have </w:t>
      </w:r>
      <w:r w:rsidR="00ED5D99">
        <w:rPr>
          <w:rFonts w:eastAsia="Times New Roman" w:cs="Times New Roman"/>
          <w:sz w:val="20"/>
          <w:szCs w:val="20"/>
        </w:rPr>
        <w:t>conferred with the Managing Committee and have directed the staff to initiate activities to prepare for the development of standards in the areas identified in the report.</w:t>
      </w:r>
      <w:bookmarkEnd w:id="1"/>
      <w:r w:rsidR="00ED5D99">
        <w:rPr>
          <w:rFonts w:eastAsia="Times New Roman" w:cs="Times New Roman"/>
          <w:sz w:val="20"/>
          <w:szCs w:val="20"/>
        </w:rPr>
        <w:t xml:space="preserve">  </w:t>
      </w:r>
      <w:r w:rsidR="00DE2A18" w:rsidRPr="00DE2A18">
        <w:rPr>
          <w:rFonts w:eastAsia="Times New Roman" w:cs="Times New Roman"/>
          <w:sz w:val="20"/>
          <w:szCs w:val="20"/>
        </w:rPr>
        <w:t xml:space="preserve">Within the coming weeks, </w:t>
      </w:r>
      <w:r w:rsidR="006C2E32">
        <w:rPr>
          <w:rFonts w:eastAsia="Times New Roman" w:cs="Times New Roman"/>
          <w:sz w:val="20"/>
          <w:szCs w:val="20"/>
        </w:rPr>
        <w:t>NAESB</w:t>
      </w:r>
      <w:r w:rsidR="00DE2A18">
        <w:rPr>
          <w:rFonts w:eastAsia="Times New Roman" w:cs="Times New Roman"/>
          <w:sz w:val="20"/>
          <w:szCs w:val="20"/>
        </w:rPr>
        <w:t xml:space="preserve"> will distribute proposed language</w:t>
      </w:r>
      <w:r w:rsidR="006C2E32">
        <w:rPr>
          <w:rFonts w:eastAsia="Times New Roman" w:cs="Times New Roman"/>
          <w:sz w:val="20"/>
          <w:szCs w:val="20"/>
        </w:rPr>
        <w:t xml:space="preserve"> that will build upon the provisional items </w:t>
      </w:r>
      <w:r w:rsidR="006C2E32">
        <w:rPr>
          <w:rFonts w:eastAsia="Times New Roman" w:cs="Times New Roman"/>
          <w:sz w:val="20"/>
          <w:szCs w:val="20"/>
        </w:rPr>
        <w:lastRenderedPageBreak/>
        <w:t xml:space="preserve">related to the Winter Storm Elliott Report </w:t>
      </w:r>
      <w:r w:rsidR="0032008E">
        <w:rPr>
          <w:rFonts w:eastAsia="Times New Roman" w:cs="Times New Roman"/>
          <w:sz w:val="20"/>
          <w:szCs w:val="20"/>
        </w:rPr>
        <w:t xml:space="preserve">that was </w:t>
      </w:r>
      <w:r w:rsidR="006C2E32">
        <w:rPr>
          <w:rFonts w:eastAsia="Times New Roman" w:cs="Times New Roman"/>
          <w:sz w:val="20"/>
          <w:szCs w:val="20"/>
        </w:rPr>
        <w:t>adopted by the WGQ and WEQ Executive Committees for</w:t>
      </w:r>
      <w:r w:rsidR="00DE2A18">
        <w:rPr>
          <w:rFonts w:eastAsia="Times New Roman" w:cs="Times New Roman"/>
          <w:sz w:val="20"/>
          <w:szCs w:val="20"/>
        </w:rPr>
        <w:t xml:space="preserve"> the 2024 Quadrant Annual Plans</w:t>
      </w:r>
      <w:r w:rsidR="006C2E32">
        <w:rPr>
          <w:rFonts w:eastAsia="Times New Roman" w:cs="Times New Roman"/>
          <w:sz w:val="20"/>
          <w:szCs w:val="20"/>
        </w:rPr>
        <w:t>.  The language can be reviewed</w:t>
      </w:r>
      <w:r w:rsidR="00DE2A18">
        <w:rPr>
          <w:rFonts w:eastAsia="Times New Roman" w:cs="Times New Roman"/>
          <w:sz w:val="20"/>
          <w:szCs w:val="20"/>
        </w:rPr>
        <w:t xml:space="preserve"> and finalized during our December 14, 2023 Board of Directors meeting. </w:t>
      </w:r>
    </w:p>
    <w:p w14:paraId="39922583" w14:textId="69589F42" w:rsidR="00D72694" w:rsidRPr="00ED5D99" w:rsidRDefault="00D72694" w:rsidP="0032008E">
      <w:pPr>
        <w:pStyle w:val="PlainText"/>
        <w:spacing w:before="120" w:line="360" w:lineRule="auto"/>
        <w:jc w:val="both"/>
        <w:rPr>
          <w:rFonts w:eastAsia="Times New Roman" w:cs="Times New Roman"/>
          <w:sz w:val="20"/>
          <w:szCs w:val="20"/>
        </w:rPr>
      </w:pPr>
      <w:r w:rsidRPr="00ED5D99">
        <w:rPr>
          <w:rFonts w:eastAsia="Times New Roman" w:cs="Times New Roman"/>
          <w:sz w:val="20"/>
          <w:szCs w:val="20"/>
        </w:rPr>
        <w:t xml:space="preserve">We are very grateful for the confidence that the FERC and NERC have shown in our organization, and we look forward to addressing this challenge with </w:t>
      </w:r>
      <w:r w:rsidR="001A4925" w:rsidRPr="00ED5D99">
        <w:rPr>
          <w:rFonts w:eastAsia="Times New Roman" w:cs="Times New Roman"/>
          <w:sz w:val="20"/>
          <w:szCs w:val="20"/>
        </w:rPr>
        <w:t xml:space="preserve">diligence and in </w:t>
      </w:r>
      <w:r w:rsidR="00AE2916" w:rsidRPr="00ED5D99">
        <w:rPr>
          <w:rFonts w:eastAsia="Times New Roman" w:cs="Times New Roman"/>
          <w:sz w:val="20"/>
          <w:szCs w:val="20"/>
        </w:rPr>
        <w:t xml:space="preserve">a </w:t>
      </w:r>
      <w:r w:rsidR="001A4925" w:rsidRPr="00ED5D99">
        <w:rPr>
          <w:rFonts w:eastAsia="Times New Roman" w:cs="Times New Roman"/>
          <w:sz w:val="20"/>
          <w:szCs w:val="20"/>
        </w:rPr>
        <w:t xml:space="preserve">considerate and collaborative </w:t>
      </w:r>
      <w:r w:rsidR="00AE2916" w:rsidRPr="00ED5D99">
        <w:rPr>
          <w:rFonts w:eastAsia="Times New Roman" w:cs="Times New Roman"/>
          <w:sz w:val="20"/>
          <w:szCs w:val="20"/>
        </w:rPr>
        <w:t>manner</w:t>
      </w:r>
      <w:r w:rsidRPr="00ED5D99">
        <w:rPr>
          <w:rFonts w:eastAsia="Times New Roman" w:cs="Times New Roman"/>
          <w:sz w:val="20"/>
          <w:szCs w:val="20"/>
        </w:rPr>
        <w:t xml:space="preserve">. </w:t>
      </w:r>
    </w:p>
    <w:p w14:paraId="28E3FD1A" w14:textId="1EE10539" w:rsidR="004A77E7" w:rsidRDefault="004A77E7" w:rsidP="002732BF">
      <w:pPr>
        <w:tabs>
          <w:tab w:val="left" w:pos="6600"/>
        </w:tabs>
        <w:spacing w:before="240"/>
        <w:jc w:val="both"/>
        <w:rPr>
          <w:rFonts w:ascii="Times New Roman" w:hAnsi="Times New Roman"/>
        </w:rPr>
      </w:pPr>
      <w:r w:rsidRPr="00791F65">
        <w:rPr>
          <w:rFonts w:ascii="Times New Roman" w:hAnsi="Times New Roman"/>
        </w:rPr>
        <w:t>With Best Regards,</w:t>
      </w:r>
      <w:r w:rsidR="002732BF">
        <w:rPr>
          <w:rFonts w:ascii="Times New Roman" w:hAnsi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</w:tblGrid>
      <w:tr w:rsidR="00292548" w:rsidRPr="000639D2" w14:paraId="39B6AA18" w14:textId="77777777" w:rsidTr="000728C3">
        <w:tc>
          <w:tcPr>
            <w:tcW w:w="4770" w:type="dxa"/>
            <w:shd w:val="clear" w:color="auto" w:fill="auto"/>
          </w:tcPr>
          <w:p w14:paraId="7255C2F7" w14:textId="53641210" w:rsidR="00292548" w:rsidRPr="000639D2" w:rsidRDefault="00292548" w:rsidP="00A60387">
            <w:pPr>
              <w:spacing w:before="120"/>
              <w:rPr>
                <w:rFonts w:ascii="Times New Roman" w:hAnsi="Times New Roman"/>
              </w:rPr>
            </w:pPr>
            <w:bookmarkStart w:id="2" w:name="OLE_LINK1"/>
            <w:bookmarkStart w:id="3" w:name="OLE_LINK2"/>
            <w:bookmarkStart w:id="4" w:name="OLE_LINK3"/>
            <w:r w:rsidRPr="00791F6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4115D9D6" wp14:editId="01476A5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47625</wp:posOffset>
                  </wp:positionV>
                  <wp:extent cx="2166620" cy="584835"/>
                  <wp:effectExtent l="0" t="0" r="5080" b="5715"/>
                  <wp:wrapTopAndBottom/>
                  <wp:docPr id="5" name="Picture 2" descr="MD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DSig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8" t="10001" r="2277" b="1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2"/>
    <w:bookmarkEnd w:id="3"/>
    <w:bookmarkEnd w:id="4"/>
    <w:p w14:paraId="7DD6483E" w14:textId="502E368B" w:rsidR="004A77E7" w:rsidRDefault="004A77E7" w:rsidP="004A77E7">
      <w:pPr>
        <w:spacing w:before="120"/>
        <w:rPr>
          <w:rFonts w:ascii="Times New Roman" w:hAnsi="Times New Roman"/>
        </w:rPr>
      </w:pPr>
      <w:r w:rsidRPr="00E26FA3">
        <w:rPr>
          <w:rFonts w:ascii="Times New Roman" w:hAnsi="Times New Roman"/>
        </w:rPr>
        <w:t xml:space="preserve">Michael Desselle, </w:t>
      </w:r>
      <w:r>
        <w:rPr>
          <w:rFonts w:ascii="Times New Roman" w:hAnsi="Times New Roman"/>
        </w:rPr>
        <w:t>Chairman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14:paraId="22BA3D11" w14:textId="1DE3DBA8" w:rsidR="00FF0C80" w:rsidRPr="008854B0" w:rsidRDefault="004A77E7" w:rsidP="007C7D5F">
      <w:pPr>
        <w:rPr>
          <w:rFonts w:ascii="Times New Roman" w:hAnsi="Times New Roman"/>
        </w:rPr>
      </w:pPr>
      <w:r>
        <w:rPr>
          <w:rFonts w:ascii="Times New Roman" w:hAnsi="Times New Roman"/>
        </w:rPr>
        <w:t>North American Energy Standards Board</w:t>
      </w:r>
      <w:r w:rsidR="008F3882">
        <w:rPr>
          <w:rFonts w:ascii="Times New Roman" w:hAnsi="Times New Roman"/>
        </w:rPr>
        <w:tab/>
      </w:r>
      <w:r w:rsidR="008F3882">
        <w:rPr>
          <w:rFonts w:ascii="Times New Roman" w:hAnsi="Times New Roman"/>
        </w:rPr>
        <w:tab/>
      </w:r>
      <w:r w:rsidR="008F3882">
        <w:rPr>
          <w:rFonts w:ascii="Times New Roman" w:hAnsi="Times New Roman"/>
        </w:rPr>
        <w:tab/>
      </w:r>
      <w:r w:rsidR="008F3882">
        <w:rPr>
          <w:rFonts w:ascii="Times New Roman" w:hAnsi="Times New Roman"/>
        </w:rPr>
        <w:tab/>
      </w:r>
      <w:r w:rsidR="008F3882">
        <w:rPr>
          <w:rFonts w:ascii="Times New Roman" w:hAnsi="Times New Roman"/>
        </w:rPr>
        <w:tab/>
      </w:r>
    </w:p>
    <w:p w14:paraId="7D37D334" w14:textId="3995FF07" w:rsidR="007A247D" w:rsidRDefault="00E26FA3" w:rsidP="007A247D">
      <w:pPr>
        <w:spacing w:before="120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</w:rPr>
        <w:t>cc:</w:t>
      </w:r>
      <w:r w:rsidR="007A247D">
        <w:rPr>
          <w:rFonts w:ascii="Times New Roman" w:hAnsi="Times New Roman"/>
        </w:rPr>
        <w:tab/>
      </w:r>
      <w:r w:rsidR="007A247D">
        <w:rPr>
          <w:rFonts w:ascii="Times New Roman" w:hAnsi="Times New Roman"/>
          <w:snapToGrid w:val="0"/>
          <w:color w:val="000000"/>
        </w:rPr>
        <w:t>Ms. Rae McQuade, President, North American Energy Standards Board</w:t>
      </w:r>
    </w:p>
    <w:p w14:paraId="35454B8F" w14:textId="32C1D861" w:rsidR="007A247D" w:rsidRDefault="007A247D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</w:r>
      <w:r w:rsidR="008718D1">
        <w:rPr>
          <w:rFonts w:ascii="Times New Roman" w:hAnsi="Times New Roman"/>
          <w:snapToGrid w:val="0"/>
          <w:color w:val="000000"/>
        </w:rPr>
        <w:t>Ms. Valerie Crockett</w:t>
      </w:r>
      <w:r>
        <w:rPr>
          <w:rFonts w:ascii="Times New Roman" w:hAnsi="Times New Roman"/>
          <w:snapToGrid w:val="0"/>
          <w:color w:val="000000"/>
        </w:rPr>
        <w:t xml:space="preserve">, Vice </w:t>
      </w:r>
      <w:r w:rsidR="008718D1">
        <w:rPr>
          <w:rFonts w:ascii="Times New Roman" w:hAnsi="Times New Roman"/>
          <w:snapToGrid w:val="0"/>
          <w:color w:val="000000"/>
        </w:rPr>
        <w:t>Chair, Wholesale Gas Quadrant</w:t>
      </w:r>
      <w:r>
        <w:rPr>
          <w:rFonts w:ascii="Times New Roman" w:hAnsi="Times New Roman"/>
          <w:snapToGrid w:val="0"/>
          <w:color w:val="000000"/>
        </w:rPr>
        <w:t>, North American Energy Standards Board</w:t>
      </w:r>
    </w:p>
    <w:p w14:paraId="5196DC20" w14:textId="00DB7715" w:rsidR="008718D1" w:rsidRDefault="008718D1" w:rsidP="007A247D">
      <w:pPr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ab/>
        <w:t xml:space="preserve">Mr. </w:t>
      </w:r>
      <w:r w:rsidR="007C7D5F">
        <w:rPr>
          <w:rFonts w:ascii="Times New Roman" w:hAnsi="Times New Roman"/>
          <w:snapToGrid w:val="0"/>
          <w:color w:val="000000"/>
        </w:rPr>
        <w:t xml:space="preserve">Jonathan Booe, Executive Vice President &amp; COO, </w:t>
      </w:r>
      <w:r w:rsidR="007C7D5F" w:rsidRPr="007C7D5F">
        <w:rPr>
          <w:rFonts w:ascii="Times New Roman" w:hAnsi="Times New Roman"/>
          <w:snapToGrid w:val="0"/>
          <w:color w:val="000000"/>
        </w:rPr>
        <w:t>North American Energy Standards Board</w:t>
      </w:r>
    </w:p>
    <w:sectPr w:rsidR="008718D1" w:rsidSect="007A247D">
      <w:headerReference w:type="default" r:id="rId9"/>
      <w:headerReference w:type="first" r:id="rId10"/>
      <w:pgSz w:w="12240" w:h="15840" w:code="1"/>
      <w:pgMar w:top="72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38013" w14:textId="77777777" w:rsidR="005A725E" w:rsidRDefault="005A725E">
      <w:r>
        <w:separator/>
      </w:r>
    </w:p>
  </w:endnote>
  <w:endnote w:type="continuationSeparator" w:id="0">
    <w:p w14:paraId="51C1D113" w14:textId="77777777" w:rsidR="005A725E" w:rsidRDefault="005A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14FFA" w14:textId="77777777" w:rsidR="005A725E" w:rsidRDefault="005A725E">
      <w:r>
        <w:separator/>
      </w:r>
    </w:p>
  </w:footnote>
  <w:footnote w:type="continuationSeparator" w:id="0">
    <w:p w14:paraId="184D212B" w14:textId="77777777" w:rsidR="005A725E" w:rsidRDefault="005A725E">
      <w:r>
        <w:continuationSeparator/>
      </w:r>
    </w:p>
  </w:footnote>
  <w:footnote w:id="1">
    <w:p w14:paraId="4860957F" w14:textId="33320CA2" w:rsidR="00790542" w:rsidRPr="00790542" w:rsidRDefault="00790542">
      <w:pPr>
        <w:pStyle w:val="FootnoteText"/>
        <w:rPr>
          <w:lang w:val="en-US"/>
        </w:rPr>
      </w:pPr>
      <w:r w:rsidRPr="0079054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90542">
        <w:rPr>
          <w:rStyle w:val="FootnoteReference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 xml:space="preserve">The Report can be found through the following hyperlink:  </w:t>
      </w:r>
      <w:hyperlink r:id="rId1" w:history="1">
        <w:r w:rsidR="00F84362" w:rsidRPr="00BD5A4B">
          <w:rPr>
            <w:rStyle w:val="Hyperlink"/>
            <w:rFonts w:ascii="Times New Roman" w:hAnsi="Times New Roman"/>
            <w:sz w:val="18"/>
            <w:szCs w:val="18"/>
            <w:lang w:val="en-US"/>
          </w:rPr>
          <w:t>https://www.naesb.org/pdf4/ferc_nerc_regional_entity_staff_report_Nov2023_cold_weather_outages_110723.pdf</w:t>
        </w:r>
      </w:hyperlink>
      <w:r w:rsidR="00F84362">
        <w:rPr>
          <w:rFonts w:ascii="Times New Roman" w:hAnsi="Times New Roman"/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D1C4D" w14:textId="77777777" w:rsidR="005008DD" w:rsidRDefault="005008DD" w:rsidP="005008D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355568" wp14:editId="401A4F6C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3B537CA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0CE11158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3163232E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434956C1" w14:textId="77777777" w:rsidR="005008DD" w:rsidRDefault="005008DD" w:rsidP="005008DD">
    <w:pPr>
      <w:pStyle w:val="Header"/>
      <w:jc w:val="center"/>
      <w:outlineLvl w:val="0"/>
      <w:rPr>
        <w:b/>
        <w:smallCaps/>
        <w:sz w:val="28"/>
      </w:rPr>
    </w:pPr>
  </w:p>
  <w:p w14:paraId="6F92090B" w14:textId="77777777" w:rsidR="005008DD" w:rsidRPr="004A30D2" w:rsidRDefault="005008DD" w:rsidP="005008D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071F085" w14:textId="78A200E8" w:rsidR="005008DD" w:rsidRPr="004A30D2" w:rsidRDefault="00ED5D99" w:rsidP="005008DD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</w:t>
    </w:r>
    <w:r w:rsidR="005008D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5008DD" w:rsidRPr="004A30D2">
      <w:rPr>
        <w:rFonts w:ascii="Times New Roman" w:hAnsi="Times New Roman"/>
        <w:sz w:val="16"/>
      </w:rPr>
      <w:t xml:space="preserve">   </w:t>
    </w:r>
    <w:r w:rsidR="005008DD" w:rsidRPr="004A30D2">
      <w:rPr>
        <w:rFonts w:ascii="Times New Roman" w:hAnsi="Times New Roman"/>
        <w:sz w:val="16"/>
      </w:rPr>
      <w:sym w:font="Symbol" w:char="F0B7"/>
    </w:r>
    <w:r w:rsidR="005008DD" w:rsidRPr="004A30D2">
      <w:rPr>
        <w:rFonts w:ascii="Times New Roman" w:hAnsi="Times New Roman"/>
        <w:sz w:val="16"/>
      </w:rPr>
      <w:t xml:space="preserve">   Houston, Texas 77002</w:t>
    </w:r>
    <w:r w:rsidR="005008DD" w:rsidRPr="004A30D2">
      <w:rPr>
        <w:rFonts w:ascii="Times New Roman" w:hAnsi="Times New Roman"/>
        <w:b/>
        <w:sz w:val="16"/>
      </w:rPr>
      <w:t xml:space="preserve">  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5008DD" w:rsidRPr="004A30D2">
      <w:rPr>
        <w:rFonts w:ascii="Times New Roman" w:hAnsi="Times New Roman"/>
        <w:b/>
        <w:sz w:val="16"/>
      </w:rPr>
      <w:t xml:space="preserve">:  </w:t>
    </w:r>
    <w:r w:rsidR="005008DD" w:rsidRPr="004A30D2">
      <w:rPr>
        <w:rFonts w:ascii="Times New Roman" w:hAnsi="Times New Roman"/>
        <w:sz w:val="16"/>
      </w:rPr>
      <w:t>(</w:t>
    </w:r>
    <w:proofErr w:type="gramEnd"/>
    <w:r w:rsidR="005008DD" w:rsidRPr="004A30D2">
      <w:rPr>
        <w:rFonts w:ascii="Times New Roman" w:hAnsi="Times New Roman"/>
        <w:sz w:val="16"/>
      </w:rPr>
      <w:t>713) 356-0060</w:t>
    </w:r>
    <w:r w:rsidR="005008DD" w:rsidRPr="004A30D2">
      <w:rPr>
        <w:rFonts w:ascii="Times New Roman" w:hAnsi="Times New Roman"/>
        <w:b/>
        <w:sz w:val="16"/>
      </w:rPr>
      <w:t xml:space="preserve"> </w:t>
    </w:r>
    <w:r w:rsidR="005008DD" w:rsidRPr="004A30D2">
      <w:rPr>
        <w:rFonts w:ascii="Times New Roman" w:hAnsi="Times New Roman"/>
        <w:b/>
        <w:sz w:val="16"/>
      </w:rPr>
      <w:sym w:font="Symbol" w:char="F0B7"/>
    </w:r>
    <w:r w:rsidR="005008DD" w:rsidRPr="004A30D2">
      <w:rPr>
        <w:rFonts w:ascii="Times New Roman" w:hAnsi="Times New Roman"/>
        <w:b/>
        <w:sz w:val="16"/>
      </w:rPr>
      <w:t xml:space="preserve">   Fax:  </w:t>
    </w:r>
    <w:r w:rsidR="005008DD" w:rsidRPr="004A30D2">
      <w:rPr>
        <w:rFonts w:ascii="Times New Roman" w:hAnsi="Times New Roman"/>
        <w:sz w:val="16"/>
      </w:rPr>
      <w:t>(713) 356-0067</w:t>
    </w:r>
  </w:p>
  <w:p w14:paraId="3E24EC2B" w14:textId="77777777" w:rsidR="005008DD" w:rsidRDefault="005008DD" w:rsidP="005008DD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  <w:p w14:paraId="0DBC82BF" w14:textId="77777777" w:rsidR="00CE68D6" w:rsidRDefault="00CE68D6" w:rsidP="00893D57">
    <w:pPr>
      <w:pStyle w:val="Header"/>
      <w:tabs>
        <w:tab w:val="left" w:pos="7317"/>
      </w:tabs>
      <w:spacing w:after="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94102" w14:textId="77777777" w:rsidR="00E8339D" w:rsidRDefault="00E8339D">
    <w:pPr>
      <w:pStyle w:val="Header"/>
      <w:rPr>
        <w:b/>
        <w:smallCaps/>
        <w:sz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C65B781" wp14:editId="753D9E76">
          <wp:simplePos x="0" y="0"/>
          <wp:positionH relativeFrom="column">
            <wp:posOffset>2404110</wp:posOffset>
          </wp:positionH>
          <wp:positionV relativeFrom="paragraph">
            <wp:posOffset>-64135</wp:posOffset>
          </wp:positionV>
          <wp:extent cx="959485" cy="1248410"/>
          <wp:effectExtent l="0" t="0" r="0" b="8890"/>
          <wp:wrapNone/>
          <wp:docPr id="4" name="Picture 4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</w:p>
  <w:p w14:paraId="26DFAB97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DC68CBB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7511C9B5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4674149F" w14:textId="77777777" w:rsidR="00E8339D" w:rsidRDefault="00E8339D">
    <w:pPr>
      <w:pStyle w:val="Header"/>
      <w:jc w:val="center"/>
      <w:outlineLvl w:val="0"/>
      <w:rPr>
        <w:b/>
        <w:smallCaps/>
        <w:sz w:val="28"/>
      </w:rPr>
    </w:pPr>
  </w:p>
  <w:p w14:paraId="6E47F8F1" w14:textId="77777777" w:rsidR="00E8339D" w:rsidRPr="004A30D2" w:rsidRDefault="00E8339D">
    <w:pPr>
      <w:pStyle w:val="Header"/>
      <w:jc w:val="center"/>
      <w:outlineLvl w:val="0"/>
      <w:rPr>
        <w:rFonts w:ascii="Times New Roman" w:hAnsi="Times New Roman"/>
        <w:b/>
        <w:smallCaps/>
        <w:sz w:val="28"/>
      </w:rPr>
    </w:pPr>
    <w:r w:rsidRPr="004A30D2">
      <w:rPr>
        <w:rFonts w:ascii="Times New Roman" w:hAnsi="Times New Roman"/>
        <w:b/>
        <w:smallCaps/>
        <w:sz w:val="28"/>
      </w:rPr>
      <w:t>North American Energy Standards Board</w:t>
    </w:r>
  </w:p>
  <w:p w14:paraId="5A2625F1" w14:textId="014D93AE" w:rsidR="00E8339D" w:rsidRPr="004A30D2" w:rsidRDefault="003131D8">
    <w:pPr>
      <w:pStyle w:val="Header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1415 Louisiana St.</w:t>
    </w:r>
    <w:r w:rsidR="00E8339D" w:rsidRPr="004A30D2">
      <w:rPr>
        <w:rFonts w:ascii="Times New Roman" w:hAnsi="Times New Roman"/>
        <w:sz w:val="16"/>
      </w:rPr>
      <w:t xml:space="preserve">, Suite </w:t>
    </w:r>
    <w:r>
      <w:rPr>
        <w:rFonts w:ascii="Times New Roman" w:hAnsi="Times New Roman"/>
        <w:sz w:val="16"/>
      </w:rPr>
      <w:t>3460</w:t>
    </w:r>
    <w:r w:rsidR="00E8339D" w:rsidRPr="004A30D2">
      <w:rPr>
        <w:rFonts w:ascii="Times New Roman" w:hAnsi="Times New Roman"/>
        <w:sz w:val="16"/>
      </w:rPr>
      <w:t xml:space="preserve">   </w:t>
    </w:r>
    <w:r w:rsidR="00E8339D" w:rsidRPr="004A30D2">
      <w:rPr>
        <w:rFonts w:ascii="Times New Roman" w:hAnsi="Times New Roman"/>
        <w:sz w:val="16"/>
      </w:rPr>
      <w:sym w:font="Symbol" w:char="F0B7"/>
    </w:r>
    <w:r w:rsidR="00E8339D" w:rsidRPr="004A30D2">
      <w:rPr>
        <w:rFonts w:ascii="Times New Roman" w:hAnsi="Times New Roman"/>
        <w:sz w:val="16"/>
      </w:rPr>
      <w:t xml:space="preserve">   Houston, Texas 77002</w:t>
    </w:r>
    <w:r w:rsidR="00E8339D" w:rsidRPr="004A30D2">
      <w:rPr>
        <w:rFonts w:ascii="Times New Roman" w:hAnsi="Times New Roman"/>
        <w:b/>
        <w:sz w:val="16"/>
      </w:rPr>
      <w:t xml:space="preserve">  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Phone</w:t>
    </w:r>
    <w:proofErr w:type="gramStart"/>
    <w:r w:rsidR="00E8339D" w:rsidRPr="004A30D2">
      <w:rPr>
        <w:rFonts w:ascii="Times New Roman" w:hAnsi="Times New Roman"/>
        <w:b/>
        <w:sz w:val="16"/>
      </w:rPr>
      <w:t xml:space="preserve">:  </w:t>
    </w:r>
    <w:r w:rsidR="00E8339D" w:rsidRPr="004A30D2">
      <w:rPr>
        <w:rFonts w:ascii="Times New Roman" w:hAnsi="Times New Roman"/>
        <w:sz w:val="16"/>
      </w:rPr>
      <w:t>(</w:t>
    </w:r>
    <w:proofErr w:type="gramEnd"/>
    <w:r w:rsidR="00E8339D" w:rsidRPr="004A30D2">
      <w:rPr>
        <w:rFonts w:ascii="Times New Roman" w:hAnsi="Times New Roman"/>
        <w:sz w:val="16"/>
      </w:rPr>
      <w:t>713) 356-0060</w:t>
    </w:r>
    <w:r w:rsidR="00E8339D" w:rsidRPr="004A30D2">
      <w:rPr>
        <w:rFonts w:ascii="Times New Roman" w:hAnsi="Times New Roman"/>
        <w:b/>
        <w:sz w:val="16"/>
      </w:rPr>
      <w:t xml:space="preserve"> </w:t>
    </w:r>
    <w:r w:rsidR="00E8339D" w:rsidRPr="004A30D2">
      <w:rPr>
        <w:rFonts w:ascii="Times New Roman" w:hAnsi="Times New Roman"/>
        <w:b/>
        <w:sz w:val="16"/>
      </w:rPr>
      <w:sym w:font="Symbol" w:char="F0B7"/>
    </w:r>
    <w:r w:rsidR="00E8339D" w:rsidRPr="004A30D2">
      <w:rPr>
        <w:rFonts w:ascii="Times New Roman" w:hAnsi="Times New Roman"/>
        <w:b/>
        <w:sz w:val="16"/>
      </w:rPr>
      <w:t xml:space="preserve">   Fax:  </w:t>
    </w:r>
    <w:r w:rsidR="00E8339D" w:rsidRPr="004A30D2">
      <w:rPr>
        <w:rFonts w:ascii="Times New Roman" w:hAnsi="Times New Roman"/>
        <w:sz w:val="16"/>
      </w:rPr>
      <w:t>(713) 356-0067</w:t>
    </w:r>
  </w:p>
  <w:p w14:paraId="048A7A14" w14:textId="77777777" w:rsidR="00E8339D" w:rsidRDefault="00E8339D" w:rsidP="00156EA6">
    <w:pPr>
      <w:pStyle w:val="Header"/>
      <w:pBdr>
        <w:bottom w:val="single" w:sz="12" w:space="1" w:color="auto"/>
      </w:pBdr>
      <w:jc w:val="center"/>
      <w:rPr>
        <w:rFonts w:ascii="Times New Roman" w:hAnsi="Times New Roman"/>
        <w:sz w:val="16"/>
      </w:rPr>
    </w:pPr>
    <w:r w:rsidRPr="004A30D2">
      <w:rPr>
        <w:rFonts w:ascii="Times New Roman" w:hAnsi="Times New Roman"/>
        <w:b/>
        <w:sz w:val="16"/>
      </w:rPr>
      <w:t xml:space="preserve">email:   </w:t>
    </w:r>
    <w:r w:rsidRPr="004A30D2">
      <w:rPr>
        <w:rFonts w:ascii="Times New Roman" w:hAnsi="Times New Roman"/>
        <w:sz w:val="16"/>
      </w:rPr>
      <w:t xml:space="preserve">naesb@naesb.org </w:t>
    </w:r>
    <w:r w:rsidRPr="004A30D2">
      <w:rPr>
        <w:rFonts w:ascii="Times New Roman" w:hAnsi="Times New Roman"/>
        <w:b/>
        <w:sz w:val="16"/>
      </w:rPr>
      <w:t xml:space="preserve">  </w:t>
    </w:r>
    <w:r w:rsidRPr="004A30D2">
      <w:rPr>
        <w:rFonts w:ascii="Times New Roman" w:hAnsi="Times New Roman"/>
        <w:b/>
        <w:sz w:val="16"/>
      </w:rPr>
      <w:sym w:font="Symbol" w:char="F0B7"/>
    </w:r>
    <w:r w:rsidRPr="004A30D2">
      <w:rPr>
        <w:rFonts w:ascii="Times New Roman" w:hAnsi="Times New Roman"/>
        <w:b/>
        <w:sz w:val="16"/>
      </w:rPr>
      <w:t xml:space="preserve">   Web Site Address:  </w:t>
    </w:r>
    <w:hyperlink r:id="rId2" w:history="1">
      <w:r w:rsidRPr="00D4063C">
        <w:rPr>
          <w:rStyle w:val="Hyperlink"/>
          <w:rFonts w:ascii="Times New Roman" w:hAnsi="Times New Roman"/>
          <w:sz w:val="16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26"/>
    <w:multiLevelType w:val="hybridMultilevel"/>
    <w:tmpl w:val="DD12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405"/>
    <w:multiLevelType w:val="hybridMultilevel"/>
    <w:tmpl w:val="B3902D7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094"/>
    <w:multiLevelType w:val="hybridMultilevel"/>
    <w:tmpl w:val="98B0332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03A5"/>
    <w:multiLevelType w:val="hybridMultilevel"/>
    <w:tmpl w:val="EF145CB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60DC"/>
    <w:multiLevelType w:val="hybridMultilevel"/>
    <w:tmpl w:val="29724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BE06E7E"/>
    <w:multiLevelType w:val="hybridMultilevel"/>
    <w:tmpl w:val="68FAC37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2D857BF"/>
    <w:multiLevelType w:val="hybridMultilevel"/>
    <w:tmpl w:val="21F05A6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D73A2"/>
    <w:multiLevelType w:val="hybridMultilevel"/>
    <w:tmpl w:val="9BEE6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2B28"/>
    <w:multiLevelType w:val="hybridMultilevel"/>
    <w:tmpl w:val="C51A3340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1B67"/>
    <w:multiLevelType w:val="hybridMultilevel"/>
    <w:tmpl w:val="CB68118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46E73"/>
    <w:multiLevelType w:val="hybridMultilevel"/>
    <w:tmpl w:val="F7D2D78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C0E"/>
    <w:multiLevelType w:val="hybridMultilevel"/>
    <w:tmpl w:val="F31C1D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5979"/>
    <w:multiLevelType w:val="hybridMultilevel"/>
    <w:tmpl w:val="60C85D5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82037"/>
    <w:multiLevelType w:val="hybridMultilevel"/>
    <w:tmpl w:val="12BAD5B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05E5A"/>
    <w:multiLevelType w:val="hybridMultilevel"/>
    <w:tmpl w:val="E4D8B7DC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327B55"/>
    <w:multiLevelType w:val="hybridMultilevel"/>
    <w:tmpl w:val="5944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F560B"/>
    <w:multiLevelType w:val="hybridMultilevel"/>
    <w:tmpl w:val="4D4813D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5174"/>
    <w:multiLevelType w:val="hybridMultilevel"/>
    <w:tmpl w:val="3E1E71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C20E4"/>
    <w:multiLevelType w:val="hybridMultilevel"/>
    <w:tmpl w:val="12C44D78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757BD7"/>
    <w:multiLevelType w:val="hybridMultilevel"/>
    <w:tmpl w:val="25D25AF8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E5DA4"/>
    <w:multiLevelType w:val="hybridMultilevel"/>
    <w:tmpl w:val="569C077E"/>
    <w:lvl w:ilvl="0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8"/>
  </w:num>
  <w:num w:numId="5">
    <w:abstractNumId w:val="23"/>
  </w:num>
  <w:num w:numId="6">
    <w:abstractNumId w:val="16"/>
  </w:num>
  <w:num w:numId="7">
    <w:abstractNumId w:val="1"/>
  </w:num>
  <w:num w:numId="8">
    <w:abstractNumId w:val="18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19"/>
  </w:num>
  <w:num w:numId="18">
    <w:abstractNumId w:val="6"/>
  </w:num>
  <w:num w:numId="19">
    <w:abstractNumId w:val="11"/>
  </w:num>
  <w:num w:numId="20">
    <w:abstractNumId w:val="3"/>
  </w:num>
  <w:num w:numId="21">
    <w:abstractNumId w:val="12"/>
  </w:num>
  <w:num w:numId="22">
    <w:abstractNumId w:val="9"/>
  </w:num>
  <w:num w:numId="23">
    <w:abstractNumId w:val="24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4D"/>
    <w:rsid w:val="0003148E"/>
    <w:rsid w:val="000377CF"/>
    <w:rsid w:val="00040093"/>
    <w:rsid w:val="00043CF6"/>
    <w:rsid w:val="000728C3"/>
    <w:rsid w:val="00080CDE"/>
    <w:rsid w:val="000A0705"/>
    <w:rsid w:val="000A3151"/>
    <w:rsid w:val="000A4120"/>
    <w:rsid w:val="000A5FDC"/>
    <w:rsid w:val="000D5ADC"/>
    <w:rsid w:val="000F4D9F"/>
    <w:rsid w:val="00100C22"/>
    <w:rsid w:val="00112E85"/>
    <w:rsid w:val="001165C3"/>
    <w:rsid w:val="001261EA"/>
    <w:rsid w:val="00145268"/>
    <w:rsid w:val="00156EA6"/>
    <w:rsid w:val="001733C1"/>
    <w:rsid w:val="00175B40"/>
    <w:rsid w:val="00183164"/>
    <w:rsid w:val="001865AD"/>
    <w:rsid w:val="00187D33"/>
    <w:rsid w:val="0019584E"/>
    <w:rsid w:val="00197859"/>
    <w:rsid w:val="001A4925"/>
    <w:rsid w:val="001A5FB8"/>
    <w:rsid w:val="001D0B7C"/>
    <w:rsid w:val="001D2CFF"/>
    <w:rsid w:val="001F77C6"/>
    <w:rsid w:val="0020076F"/>
    <w:rsid w:val="0020577F"/>
    <w:rsid w:val="0021379D"/>
    <w:rsid w:val="002157DB"/>
    <w:rsid w:val="00221B70"/>
    <w:rsid w:val="00227668"/>
    <w:rsid w:val="00227CAD"/>
    <w:rsid w:val="002340F7"/>
    <w:rsid w:val="00242516"/>
    <w:rsid w:val="002573B8"/>
    <w:rsid w:val="0025746C"/>
    <w:rsid w:val="00261912"/>
    <w:rsid w:val="002732BF"/>
    <w:rsid w:val="0027652D"/>
    <w:rsid w:val="00292548"/>
    <w:rsid w:val="00296285"/>
    <w:rsid w:val="002A568B"/>
    <w:rsid w:val="002B1B11"/>
    <w:rsid w:val="002E0CDF"/>
    <w:rsid w:val="002E411C"/>
    <w:rsid w:val="002E6BFD"/>
    <w:rsid w:val="002F41EC"/>
    <w:rsid w:val="003131D8"/>
    <w:rsid w:val="0032008E"/>
    <w:rsid w:val="00332F23"/>
    <w:rsid w:val="003344B9"/>
    <w:rsid w:val="003415D1"/>
    <w:rsid w:val="00354627"/>
    <w:rsid w:val="00360AB1"/>
    <w:rsid w:val="00366019"/>
    <w:rsid w:val="00366F38"/>
    <w:rsid w:val="0038164E"/>
    <w:rsid w:val="00383B7D"/>
    <w:rsid w:val="003B1A9F"/>
    <w:rsid w:val="003C7DBA"/>
    <w:rsid w:val="003D0B1E"/>
    <w:rsid w:val="003E0926"/>
    <w:rsid w:val="003E57D9"/>
    <w:rsid w:val="003E7087"/>
    <w:rsid w:val="003F25CD"/>
    <w:rsid w:val="003F3164"/>
    <w:rsid w:val="003F3AAE"/>
    <w:rsid w:val="003F55EA"/>
    <w:rsid w:val="00400CF2"/>
    <w:rsid w:val="00405285"/>
    <w:rsid w:val="00405AA6"/>
    <w:rsid w:val="00406280"/>
    <w:rsid w:val="004108CA"/>
    <w:rsid w:val="00437CD8"/>
    <w:rsid w:val="00452554"/>
    <w:rsid w:val="0045269E"/>
    <w:rsid w:val="00457811"/>
    <w:rsid w:val="00457E28"/>
    <w:rsid w:val="004762A2"/>
    <w:rsid w:val="0048137E"/>
    <w:rsid w:val="00486216"/>
    <w:rsid w:val="0048764D"/>
    <w:rsid w:val="004958E2"/>
    <w:rsid w:val="00497C97"/>
    <w:rsid w:val="004A0728"/>
    <w:rsid w:val="004A30D2"/>
    <w:rsid w:val="004A6A8F"/>
    <w:rsid w:val="004A77E7"/>
    <w:rsid w:val="004B11FF"/>
    <w:rsid w:val="004B5AAC"/>
    <w:rsid w:val="004C7478"/>
    <w:rsid w:val="004D48CE"/>
    <w:rsid w:val="004D662D"/>
    <w:rsid w:val="004D75DE"/>
    <w:rsid w:val="004E1458"/>
    <w:rsid w:val="004F1FC4"/>
    <w:rsid w:val="004F2C88"/>
    <w:rsid w:val="004F49B5"/>
    <w:rsid w:val="005008DD"/>
    <w:rsid w:val="00503986"/>
    <w:rsid w:val="005465B4"/>
    <w:rsid w:val="00547A87"/>
    <w:rsid w:val="00554019"/>
    <w:rsid w:val="00555F43"/>
    <w:rsid w:val="00567F83"/>
    <w:rsid w:val="0057087E"/>
    <w:rsid w:val="0057519E"/>
    <w:rsid w:val="0058614F"/>
    <w:rsid w:val="005A029C"/>
    <w:rsid w:val="005A725E"/>
    <w:rsid w:val="005B6AA2"/>
    <w:rsid w:val="005C1E1D"/>
    <w:rsid w:val="005D5082"/>
    <w:rsid w:val="005D5929"/>
    <w:rsid w:val="005F3F31"/>
    <w:rsid w:val="005F74CE"/>
    <w:rsid w:val="006069CD"/>
    <w:rsid w:val="00614ADE"/>
    <w:rsid w:val="00631A9E"/>
    <w:rsid w:val="00633986"/>
    <w:rsid w:val="00654022"/>
    <w:rsid w:val="00654CB5"/>
    <w:rsid w:val="00682417"/>
    <w:rsid w:val="00684C3B"/>
    <w:rsid w:val="006920E5"/>
    <w:rsid w:val="00693973"/>
    <w:rsid w:val="00696360"/>
    <w:rsid w:val="00696B35"/>
    <w:rsid w:val="006A4F72"/>
    <w:rsid w:val="006B10BF"/>
    <w:rsid w:val="006C2E32"/>
    <w:rsid w:val="006E3ABF"/>
    <w:rsid w:val="006E6DFE"/>
    <w:rsid w:val="0070225C"/>
    <w:rsid w:val="00703556"/>
    <w:rsid w:val="00716AF5"/>
    <w:rsid w:val="00716F14"/>
    <w:rsid w:val="00717203"/>
    <w:rsid w:val="00721999"/>
    <w:rsid w:val="00736DCB"/>
    <w:rsid w:val="00774915"/>
    <w:rsid w:val="00790542"/>
    <w:rsid w:val="00790CD5"/>
    <w:rsid w:val="007917EE"/>
    <w:rsid w:val="00791F65"/>
    <w:rsid w:val="00792A09"/>
    <w:rsid w:val="00796EF1"/>
    <w:rsid w:val="007979CF"/>
    <w:rsid w:val="007A247D"/>
    <w:rsid w:val="007A5003"/>
    <w:rsid w:val="007B1C4D"/>
    <w:rsid w:val="007C7D5F"/>
    <w:rsid w:val="007D16EB"/>
    <w:rsid w:val="007E3041"/>
    <w:rsid w:val="007F09BA"/>
    <w:rsid w:val="008064ED"/>
    <w:rsid w:val="0081734C"/>
    <w:rsid w:val="00817EB4"/>
    <w:rsid w:val="008220BE"/>
    <w:rsid w:val="00826B86"/>
    <w:rsid w:val="00827FF4"/>
    <w:rsid w:val="00833535"/>
    <w:rsid w:val="00843319"/>
    <w:rsid w:val="0084404E"/>
    <w:rsid w:val="00846931"/>
    <w:rsid w:val="00850EDE"/>
    <w:rsid w:val="00853FF1"/>
    <w:rsid w:val="00855F3F"/>
    <w:rsid w:val="008718D1"/>
    <w:rsid w:val="00880248"/>
    <w:rsid w:val="008854B0"/>
    <w:rsid w:val="00885CAD"/>
    <w:rsid w:val="00891F28"/>
    <w:rsid w:val="00893D57"/>
    <w:rsid w:val="00897DB5"/>
    <w:rsid w:val="00897E6F"/>
    <w:rsid w:val="008B1994"/>
    <w:rsid w:val="008B6B8F"/>
    <w:rsid w:val="008C3A89"/>
    <w:rsid w:val="008D4625"/>
    <w:rsid w:val="008E0405"/>
    <w:rsid w:val="008E0BF4"/>
    <w:rsid w:val="008E1436"/>
    <w:rsid w:val="008F2088"/>
    <w:rsid w:val="008F3882"/>
    <w:rsid w:val="00902241"/>
    <w:rsid w:val="00905CB0"/>
    <w:rsid w:val="0092049C"/>
    <w:rsid w:val="00926E76"/>
    <w:rsid w:val="00926E8D"/>
    <w:rsid w:val="00930C22"/>
    <w:rsid w:val="00947345"/>
    <w:rsid w:val="00951C7C"/>
    <w:rsid w:val="00956F81"/>
    <w:rsid w:val="009631FA"/>
    <w:rsid w:val="00975654"/>
    <w:rsid w:val="009805E8"/>
    <w:rsid w:val="00985BE1"/>
    <w:rsid w:val="009945CC"/>
    <w:rsid w:val="009B465C"/>
    <w:rsid w:val="009B6B83"/>
    <w:rsid w:val="009C5C3B"/>
    <w:rsid w:val="009D08B5"/>
    <w:rsid w:val="009D26DA"/>
    <w:rsid w:val="009E31B7"/>
    <w:rsid w:val="009E3532"/>
    <w:rsid w:val="009E3707"/>
    <w:rsid w:val="00A01723"/>
    <w:rsid w:val="00A14400"/>
    <w:rsid w:val="00A20C06"/>
    <w:rsid w:val="00A2503D"/>
    <w:rsid w:val="00A25B22"/>
    <w:rsid w:val="00A44386"/>
    <w:rsid w:val="00A527B0"/>
    <w:rsid w:val="00A53AD3"/>
    <w:rsid w:val="00A67250"/>
    <w:rsid w:val="00A7545F"/>
    <w:rsid w:val="00A7655C"/>
    <w:rsid w:val="00A96E07"/>
    <w:rsid w:val="00AA3968"/>
    <w:rsid w:val="00AB6568"/>
    <w:rsid w:val="00AD4927"/>
    <w:rsid w:val="00AE0668"/>
    <w:rsid w:val="00AE2916"/>
    <w:rsid w:val="00AF3FFC"/>
    <w:rsid w:val="00AF5CC9"/>
    <w:rsid w:val="00B13DCB"/>
    <w:rsid w:val="00B150B7"/>
    <w:rsid w:val="00B16CDC"/>
    <w:rsid w:val="00B23536"/>
    <w:rsid w:val="00B2531D"/>
    <w:rsid w:val="00B26C7A"/>
    <w:rsid w:val="00B35182"/>
    <w:rsid w:val="00B35FA0"/>
    <w:rsid w:val="00B36F13"/>
    <w:rsid w:val="00B51D5F"/>
    <w:rsid w:val="00B62AD6"/>
    <w:rsid w:val="00B64D7C"/>
    <w:rsid w:val="00B65CC8"/>
    <w:rsid w:val="00B67CC6"/>
    <w:rsid w:val="00B72BE5"/>
    <w:rsid w:val="00B7536B"/>
    <w:rsid w:val="00B81EDF"/>
    <w:rsid w:val="00BA19DA"/>
    <w:rsid w:val="00BA576D"/>
    <w:rsid w:val="00BB2147"/>
    <w:rsid w:val="00BC222D"/>
    <w:rsid w:val="00BC7245"/>
    <w:rsid w:val="00BD49EB"/>
    <w:rsid w:val="00BE10D4"/>
    <w:rsid w:val="00BE423A"/>
    <w:rsid w:val="00C30B5F"/>
    <w:rsid w:val="00C339EB"/>
    <w:rsid w:val="00C36294"/>
    <w:rsid w:val="00C54B01"/>
    <w:rsid w:val="00C95F36"/>
    <w:rsid w:val="00C97F76"/>
    <w:rsid w:val="00CA1A8C"/>
    <w:rsid w:val="00CC41DC"/>
    <w:rsid w:val="00CD1DC9"/>
    <w:rsid w:val="00CE3AB9"/>
    <w:rsid w:val="00CE68D6"/>
    <w:rsid w:val="00CF7DC7"/>
    <w:rsid w:val="00D05971"/>
    <w:rsid w:val="00D1011F"/>
    <w:rsid w:val="00D118AA"/>
    <w:rsid w:val="00D1296D"/>
    <w:rsid w:val="00D132E8"/>
    <w:rsid w:val="00D14773"/>
    <w:rsid w:val="00D22B48"/>
    <w:rsid w:val="00D27F51"/>
    <w:rsid w:val="00D31B5D"/>
    <w:rsid w:val="00D47856"/>
    <w:rsid w:val="00D55AE5"/>
    <w:rsid w:val="00D72694"/>
    <w:rsid w:val="00D76AC4"/>
    <w:rsid w:val="00D97DE2"/>
    <w:rsid w:val="00DB06B1"/>
    <w:rsid w:val="00DB142D"/>
    <w:rsid w:val="00DB6379"/>
    <w:rsid w:val="00DC2E94"/>
    <w:rsid w:val="00DC4C73"/>
    <w:rsid w:val="00DE2A18"/>
    <w:rsid w:val="00DE508C"/>
    <w:rsid w:val="00DF0513"/>
    <w:rsid w:val="00E07B62"/>
    <w:rsid w:val="00E16A10"/>
    <w:rsid w:val="00E24D96"/>
    <w:rsid w:val="00E257C7"/>
    <w:rsid w:val="00E26FA3"/>
    <w:rsid w:val="00E317C2"/>
    <w:rsid w:val="00E56D37"/>
    <w:rsid w:val="00E61867"/>
    <w:rsid w:val="00E62141"/>
    <w:rsid w:val="00E67F82"/>
    <w:rsid w:val="00E71B57"/>
    <w:rsid w:val="00E80DA4"/>
    <w:rsid w:val="00E8231A"/>
    <w:rsid w:val="00E8339D"/>
    <w:rsid w:val="00E85888"/>
    <w:rsid w:val="00EA3D86"/>
    <w:rsid w:val="00EC2668"/>
    <w:rsid w:val="00ED5D99"/>
    <w:rsid w:val="00ED65FC"/>
    <w:rsid w:val="00EE51E6"/>
    <w:rsid w:val="00EF1FB7"/>
    <w:rsid w:val="00EF5B5B"/>
    <w:rsid w:val="00F00A3F"/>
    <w:rsid w:val="00F02CD4"/>
    <w:rsid w:val="00F10783"/>
    <w:rsid w:val="00F26DCC"/>
    <w:rsid w:val="00F42BB2"/>
    <w:rsid w:val="00F43777"/>
    <w:rsid w:val="00F47B4E"/>
    <w:rsid w:val="00F51A81"/>
    <w:rsid w:val="00F558B2"/>
    <w:rsid w:val="00F7093E"/>
    <w:rsid w:val="00F74F93"/>
    <w:rsid w:val="00F84362"/>
    <w:rsid w:val="00F8633F"/>
    <w:rsid w:val="00FA0504"/>
    <w:rsid w:val="00FA1B31"/>
    <w:rsid w:val="00FA42E5"/>
    <w:rsid w:val="00FB2844"/>
    <w:rsid w:val="00FB299D"/>
    <w:rsid w:val="00FB687A"/>
    <w:rsid w:val="00FC2C61"/>
    <w:rsid w:val="00FC5CEE"/>
    <w:rsid w:val="00FE1234"/>
    <w:rsid w:val="00FE21BE"/>
    <w:rsid w:val="00FF0372"/>
    <w:rsid w:val="00FF0C80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1771"/>
  <w15:docId w15:val="{AC547C5B-E6FD-4BE1-AFFC-84B3E243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64D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764D"/>
    <w:pPr>
      <w:tabs>
        <w:tab w:val="center" w:pos="4320"/>
        <w:tab w:val="right" w:pos="8640"/>
      </w:tabs>
    </w:pPr>
  </w:style>
  <w:style w:type="character" w:styleId="Hyperlink">
    <w:name w:val="Hyperlink"/>
    <w:rsid w:val="00C339EB"/>
    <w:rPr>
      <w:color w:val="0000FF"/>
      <w:u w:val="single"/>
    </w:rPr>
  </w:style>
  <w:style w:type="paragraph" w:styleId="Footer">
    <w:name w:val="footer"/>
    <w:basedOn w:val="Normal"/>
    <w:rsid w:val="00080CD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261EA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1261EA"/>
    <w:rPr>
      <w:rFonts w:ascii="Bookman Old Style" w:hAnsi="Bookman Old Style"/>
    </w:rPr>
  </w:style>
  <w:style w:type="character" w:styleId="FootnoteReference">
    <w:name w:val="footnote reference"/>
    <w:uiPriority w:val="99"/>
    <w:rsid w:val="001261EA"/>
    <w:rPr>
      <w:vertAlign w:val="superscript"/>
    </w:rPr>
  </w:style>
  <w:style w:type="paragraph" w:styleId="BalloonText">
    <w:name w:val="Balloon Text"/>
    <w:basedOn w:val="Normal"/>
    <w:link w:val="BalloonTextChar"/>
    <w:rsid w:val="002B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B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EF1"/>
    <w:pPr>
      <w:ind w:left="720"/>
      <w:contextualSpacing/>
    </w:pPr>
  </w:style>
  <w:style w:type="character" w:styleId="CommentReference">
    <w:name w:val="annotation reference"/>
    <w:basedOn w:val="DefaultParagraphFont"/>
    <w:rsid w:val="00DE5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508C"/>
  </w:style>
  <w:style w:type="character" w:customStyle="1" w:styleId="CommentTextChar">
    <w:name w:val="Comment Text Char"/>
    <w:basedOn w:val="DefaultParagraphFont"/>
    <w:link w:val="CommentText"/>
    <w:rsid w:val="00DE508C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DE5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508C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20C06"/>
    <w:rPr>
      <w:rFonts w:ascii="Bookman Old Style" w:hAnsi="Bookman Old Style"/>
    </w:rPr>
  </w:style>
  <w:style w:type="character" w:styleId="FollowedHyperlink">
    <w:name w:val="FollowedHyperlink"/>
    <w:basedOn w:val="DefaultParagraphFont"/>
    <w:rsid w:val="003F25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029C"/>
    <w:rPr>
      <w:rFonts w:ascii="Times New Roman" w:eastAsiaTheme="minorHAnsi" w:hAnsi="Times New Roman" w:cs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029C"/>
    <w:rPr>
      <w:rFonts w:eastAsiaTheme="minorHAnsi" w:cs="Calibr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8DD"/>
    <w:rPr>
      <w:rFonts w:ascii="Bookman Old Style" w:hAnsi="Bookman Old Sty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pdf4/ferc_nerc_regional_entity_staff_report_Nov2023_cold_weather_outages_11072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e%20Mcquade\Application%20Data\Microsoft\Templates\NAES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D437-821A-4382-81A9-128964DE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NAESB Letterhead</Template>
  <TotalTime>31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</vt:lpstr>
    </vt:vector>
  </TitlesOfParts>
  <Company>NAESB</Company>
  <LinksUpToDate>false</LinksUpToDate>
  <CharactersWithSpaces>3469</CharactersWithSpaces>
  <SharedDoc>false</SharedDoc>
  <HLinks>
    <vt:vector size="6" baseType="variant">
      <vt:variant>
        <vt:i4>4849694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creator>DALIA VASQUEZ</dc:creator>
  <cp:lastModifiedBy>Jonathan Booe</cp:lastModifiedBy>
  <cp:revision>3</cp:revision>
  <cp:lastPrinted>2013-08-02T20:53:00Z</cp:lastPrinted>
  <dcterms:created xsi:type="dcterms:W3CDTF">2023-11-08T19:36:00Z</dcterms:created>
  <dcterms:modified xsi:type="dcterms:W3CDTF">2023-11-08T20:04:00Z</dcterms:modified>
</cp:coreProperties>
</file>